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804B" w14:textId="77777777" w:rsidR="003417D4" w:rsidRPr="00070F03" w:rsidRDefault="00070F03" w:rsidP="00070F03">
      <w:pPr>
        <w:jc w:val="center"/>
        <w:rPr>
          <w:rFonts w:asciiTheme="majorHAnsi" w:hAnsiTheme="majorHAnsi"/>
          <w:b/>
          <w:sz w:val="28"/>
          <w:szCs w:val="28"/>
        </w:rPr>
      </w:pPr>
      <w:r w:rsidRPr="00070F03">
        <w:rPr>
          <w:rFonts w:asciiTheme="majorHAnsi" w:hAnsiTheme="majorHAnsi"/>
          <w:b/>
          <w:sz w:val="28"/>
          <w:szCs w:val="28"/>
        </w:rPr>
        <w:t>Historical Habits of Mind</w:t>
      </w:r>
    </w:p>
    <w:p w14:paraId="6B0C8A7F" w14:textId="77777777" w:rsidR="00070F03" w:rsidRDefault="00070F03" w:rsidP="00070F03">
      <w:pPr>
        <w:jc w:val="center"/>
        <w:rPr>
          <w:b/>
        </w:rPr>
      </w:pPr>
    </w:p>
    <w:p w14:paraId="5B2A2564" w14:textId="77777777" w:rsidR="00070F03" w:rsidRPr="00070F03" w:rsidRDefault="00070F03" w:rsidP="00070F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  <w:r w:rsidRPr="00070F03">
        <w:rPr>
          <w:rFonts w:asciiTheme="majorHAnsi" w:hAnsiTheme="majorHAnsi" w:cs="Arial"/>
          <w:b/>
          <w:sz w:val="23"/>
          <w:szCs w:val="23"/>
        </w:rPr>
        <w:t>Understand</w:t>
      </w:r>
      <w:r w:rsidRPr="00070F03">
        <w:rPr>
          <w:rFonts w:asciiTheme="majorHAnsi" w:hAnsiTheme="majorHAnsi" w:cs="Arial"/>
          <w:sz w:val="23"/>
          <w:szCs w:val="23"/>
        </w:rPr>
        <w:t xml:space="preserve"> the significance of the past to </w:t>
      </w:r>
      <w:proofErr w:type="gramStart"/>
      <w:r w:rsidRPr="00070F03">
        <w:rPr>
          <w:rFonts w:asciiTheme="majorHAnsi" w:hAnsiTheme="majorHAnsi" w:cs="Arial"/>
          <w:sz w:val="23"/>
          <w:szCs w:val="23"/>
        </w:rPr>
        <w:t>their own</w:t>
      </w:r>
      <w:proofErr w:type="gramEnd"/>
      <w:r w:rsidRPr="00070F03">
        <w:rPr>
          <w:rFonts w:asciiTheme="majorHAnsi" w:hAnsiTheme="majorHAnsi" w:cs="Arial"/>
          <w:sz w:val="23"/>
          <w:szCs w:val="23"/>
        </w:rPr>
        <w:t xml:space="preserve"> lives, both private and public, and to their society.</w:t>
      </w:r>
    </w:p>
    <w:p w14:paraId="7AE965E2" w14:textId="77777777" w:rsidR="00070F03" w:rsidRPr="00070F03" w:rsidRDefault="00070F03" w:rsidP="00070F03">
      <w:pPr>
        <w:tabs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</w:p>
    <w:p w14:paraId="66F69944" w14:textId="77777777" w:rsidR="00070F03" w:rsidRPr="00070F03" w:rsidRDefault="00070F03" w:rsidP="00070F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  <w:r w:rsidRPr="00070F03">
        <w:rPr>
          <w:rFonts w:asciiTheme="majorHAnsi" w:hAnsiTheme="majorHAnsi" w:cs="Arial"/>
          <w:b/>
          <w:sz w:val="23"/>
          <w:szCs w:val="23"/>
        </w:rPr>
        <w:t>Distinguish</w:t>
      </w:r>
      <w:r w:rsidRPr="00070F03">
        <w:rPr>
          <w:rFonts w:asciiTheme="majorHAnsi" w:hAnsiTheme="majorHAnsi" w:cs="Arial"/>
          <w:sz w:val="23"/>
          <w:szCs w:val="23"/>
        </w:rPr>
        <w:t xml:space="preserve"> between the important and the inconsequential, to develop the “discriminating memory” needed for a discerning judgment in public and personal life.</w:t>
      </w:r>
    </w:p>
    <w:p w14:paraId="1D62C3CF" w14:textId="77777777" w:rsidR="00070F03" w:rsidRPr="00070F03" w:rsidRDefault="00070F03" w:rsidP="00070F03">
      <w:pPr>
        <w:tabs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</w:p>
    <w:p w14:paraId="70FEAA92" w14:textId="77777777" w:rsidR="00070F03" w:rsidRPr="00070F03" w:rsidRDefault="00070F03" w:rsidP="00070F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  <w:r w:rsidRPr="00070F03">
        <w:rPr>
          <w:rFonts w:asciiTheme="majorHAnsi" w:hAnsiTheme="majorHAnsi" w:cs="Arial"/>
          <w:b/>
          <w:sz w:val="23"/>
          <w:szCs w:val="23"/>
        </w:rPr>
        <w:t>Perceive</w:t>
      </w:r>
      <w:r w:rsidRPr="00070F03">
        <w:rPr>
          <w:rFonts w:asciiTheme="majorHAnsi" w:hAnsiTheme="majorHAnsi" w:cs="Arial"/>
          <w:sz w:val="23"/>
          <w:szCs w:val="23"/>
        </w:rPr>
        <w:t xml:space="preserve"> past events and issues as people experienced them at the time, to develop historical empathy as opposed to present-mindedness.</w:t>
      </w:r>
    </w:p>
    <w:p w14:paraId="74E2A317" w14:textId="77777777" w:rsidR="00070F03" w:rsidRPr="00070F03" w:rsidRDefault="00070F03" w:rsidP="00070F03">
      <w:pPr>
        <w:tabs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</w:p>
    <w:p w14:paraId="35979388" w14:textId="77777777" w:rsidR="00070F03" w:rsidRPr="00070F03" w:rsidRDefault="00070F03" w:rsidP="00070F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  <w:r w:rsidRPr="00070F03">
        <w:rPr>
          <w:rFonts w:asciiTheme="majorHAnsi" w:hAnsiTheme="majorHAnsi" w:cs="Arial"/>
          <w:b/>
          <w:sz w:val="23"/>
          <w:szCs w:val="23"/>
        </w:rPr>
        <w:t xml:space="preserve">Acquire </w:t>
      </w:r>
      <w:r w:rsidRPr="00070F03">
        <w:rPr>
          <w:rFonts w:asciiTheme="majorHAnsi" w:hAnsiTheme="majorHAnsi" w:cs="Arial"/>
          <w:sz w:val="23"/>
          <w:szCs w:val="23"/>
        </w:rPr>
        <w:t>at the same time a comprehension of diverse cultures and shared humanity.</w:t>
      </w:r>
    </w:p>
    <w:p w14:paraId="13038AB9" w14:textId="77777777" w:rsidR="00070F03" w:rsidRPr="00070F03" w:rsidRDefault="00070F03" w:rsidP="00070F03">
      <w:pPr>
        <w:tabs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</w:p>
    <w:p w14:paraId="09ED852C" w14:textId="77777777" w:rsidR="00070F03" w:rsidRPr="00070F03" w:rsidRDefault="00070F03" w:rsidP="00070F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  <w:r w:rsidRPr="00070F03">
        <w:rPr>
          <w:rFonts w:asciiTheme="majorHAnsi" w:hAnsiTheme="majorHAnsi" w:cs="Arial"/>
          <w:b/>
          <w:sz w:val="23"/>
          <w:szCs w:val="23"/>
        </w:rPr>
        <w:t xml:space="preserve">Understand </w:t>
      </w:r>
      <w:r w:rsidRPr="00070F03">
        <w:rPr>
          <w:rFonts w:asciiTheme="majorHAnsi" w:hAnsiTheme="majorHAnsi" w:cs="Arial"/>
          <w:sz w:val="23"/>
          <w:szCs w:val="23"/>
        </w:rPr>
        <w:t>how things happen and how things change, how human intentions matter, but also how their consequences are shaped by the means of carrying them out, in a tangle of purpose and process.</w:t>
      </w:r>
    </w:p>
    <w:p w14:paraId="781A91AB" w14:textId="77777777" w:rsidR="00070F03" w:rsidRPr="00070F03" w:rsidRDefault="00070F03" w:rsidP="00070F03">
      <w:pPr>
        <w:tabs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</w:p>
    <w:p w14:paraId="2E533F2A" w14:textId="77777777" w:rsidR="00070F03" w:rsidRPr="00070F03" w:rsidRDefault="00070F03" w:rsidP="00070F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  <w:r w:rsidRPr="00070F03">
        <w:rPr>
          <w:rFonts w:asciiTheme="majorHAnsi" w:hAnsiTheme="majorHAnsi" w:cs="Arial"/>
          <w:b/>
          <w:sz w:val="23"/>
          <w:szCs w:val="23"/>
        </w:rPr>
        <w:t xml:space="preserve">Comprehend </w:t>
      </w:r>
      <w:r w:rsidRPr="00070F03">
        <w:rPr>
          <w:rFonts w:asciiTheme="majorHAnsi" w:hAnsiTheme="majorHAnsi" w:cs="Arial"/>
          <w:sz w:val="23"/>
          <w:szCs w:val="23"/>
        </w:rPr>
        <w:t>the interplay of change and continuity, and avoid assuming that either is somehow more natural, or more to be expected, than the other.</w:t>
      </w:r>
    </w:p>
    <w:p w14:paraId="4AAAF36B" w14:textId="77777777" w:rsidR="00070F03" w:rsidRPr="00070F03" w:rsidRDefault="00070F03" w:rsidP="00070F03">
      <w:pPr>
        <w:tabs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</w:p>
    <w:p w14:paraId="1B491C73" w14:textId="77777777" w:rsidR="00070F03" w:rsidRPr="00070F03" w:rsidRDefault="00070F03" w:rsidP="00070F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  <w:r w:rsidRPr="00070F03">
        <w:rPr>
          <w:rFonts w:asciiTheme="majorHAnsi" w:hAnsiTheme="majorHAnsi" w:cs="Arial"/>
          <w:b/>
          <w:sz w:val="23"/>
          <w:szCs w:val="23"/>
        </w:rPr>
        <w:t xml:space="preserve">Prepare </w:t>
      </w:r>
      <w:r w:rsidRPr="00070F03">
        <w:rPr>
          <w:rFonts w:asciiTheme="majorHAnsi" w:hAnsiTheme="majorHAnsi" w:cs="Arial"/>
          <w:sz w:val="23"/>
          <w:szCs w:val="23"/>
        </w:rPr>
        <w:t>to live with uncertainties and exasperating, even perilous, unfinished business, realizing that not all problems have solutions.</w:t>
      </w:r>
    </w:p>
    <w:p w14:paraId="5ED533AE" w14:textId="77777777" w:rsidR="00070F03" w:rsidRPr="00070F03" w:rsidRDefault="00070F03" w:rsidP="00070F03">
      <w:pPr>
        <w:tabs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</w:p>
    <w:p w14:paraId="342C7420" w14:textId="77777777" w:rsidR="00070F03" w:rsidRPr="00070F03" w:rsidRDefault="00070F03" w:rsidP="00070F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  <w:r w:rsidRPr="00070F03">
        <w:rPr>
          <w:rFonts w:asciiTheme="majorHAnsi" w:hAnsiTheme="majorHAnsi" w:cs="Arial"/>
          <w:b/>
          <w:sz w:val="23"/>
          <w:szCs w:val="23"/>
        </w:rPr>
        <w:t>Grasp</w:t>
      </w:r>
      <w:r w:rsidRPr="00070F03">
        <w:rPr>
          <w:rFonts w:asciiTheme="majorHAnsi" w:hAnsiTheme="majorHAnsi" w:cs="Arial"/>
          <w:sz w:val="23"/>
          <w:szCs w:val="23"/>
        </w:rPr>
        <w:t xml:space="preserve"> the complexity of historical causation, respect particularity, and avoid excessively abstract generalizations.</w:t>
      </w:r>
    </w:p>
    <w:p w14:paraId="286FC844" w14:textId="77777777" w:rsidR="00070F03" w:rsidRPr="00070F03" w:rsidRDefault="00070F03" w:rsidP="00070F03">
      <w:pPr>
        <w:tabs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</w:p>
    <w:p w14:paraId="6362ADF8" w14:textId="77777777" w:rsidR="00070F03" w:rsidRPr="00070F03" w:rsidRDefault="00070F03" w:rsidP="00070F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  <w:r w:rsidRPr="00070F03">
        <w:rPr>
          <w:rFonts w:asciiTheme="majorHAnsi" w:hAnsiTheme="majorHAnsi" w:cs="Arial"/>
          <w:b/>
          <w:sz w:val="23"/>
          <w:szCs w:val="23"/>
        </w:rPr>
        <w:t>Appreciate</w:t>
      </w:r>
      <w:r w:rsidRPr="00070F03">
        <w:rPr>
          <w:rFonts w:asciiTheme="majorHAnsi" w:hAnsiTheme="majorHAnsi" w:cs="Arial"/>
          <w:sz w:val="23"/>
          <w:szCs w:val="23"/>
        </w:rPr>
        <w:t xml:space="preserve"> the </w:t>
      </w:r>
      <w:proofErr w:type="gramStart"/>
      <w:r w:rsidRPr="00070F03">
        <w:rPr>
          <w:rFonts w:asciiTheme="majorHAnsi" w:hAnsiTheme="majorHAnsi" w:cs="Arial"/>
          <w:sz w:val="23"/>
          <w:szCs w:val="23"/>
        </w:rPr>
        <w:t>often tentative</w:t>
      </w:r>
      <w:proofErr w:type="gramEnd"/>
      <w:r w:rsidRPr="00070F03">
        <w:rPr>
          <w:rFonts w:asciiTheme="majorHAnsi" w:hAnsiTheme="majorHAnsi" w:cs="Arial"/>
          <w:sz w:val="23"/>
          <w:szCs w:val="23"/>
        </w:rPr>
        <w:t xml:space="preserve"> nature of judgments about the past, and thereby avoid the temptation to seize upon particular “lessons” of history as a cure for present ills.</w:t>
      </w:r>
    </w:p>
    <w:p w14:paraId="5BB8F80E" w14:textId="77777777" w:rsidR="00070F03" w:rsidRPr="00070F03" w:rsidRDefault="00070F03" w:rsidP="00070F03">
      <w:pPr>
        <w:tabs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</w:p>
    <w:p w14:paraId="62111FAE" w14:textId="77777777" w:rsidR="00070F03" w:rsidRPr="00070F03" w:rsidRDefault="00070F03" w:rsidP="00070F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  <w:r w:rsidRPr="00070F03">
        <w:rPr>
          <w:rFonts w:asciiTheme="majorHAnsi" w:hAnsiTheme="majorHAnsi" w:cs="Arial"/>
          <w:b/>
          <w:sz w:val="23"/>
          <w:szCs w:val="23"/>
        </w:rPr>
        <w:t>Recognize</w:t>
      </w:r>
      <w:r w:rsidRPr="00070F03">
        <w:rPr>
          <w:rFonts w:asciiTheme="majorHAnsi" w:hAnsiTheme="majorHAnsi" w:cs="Arial"/>
          <w:sz w:val="23"/>
          <w:szCs w:val="23"/>
        </w:rPr>
        <w:t xml:space="preserve"> the importance of individuals who have made a difference in history, and the significance of personal character for both good and ill.</w:t>
      </w:r>
    </w:p>
    <w:p w14:paraId="45F933F2" w14:textId="77777777" w:rsidR="00070F03" w:rsidRPr="00070F03" w:rsidRDefault="00070F03" w:rsidP="00070F03">
      <w:pPr>
        <w:tabs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</w:p>
    <w:p w14:paraId="044AADAC" w14:textId="77777777" w:rsidR="00070F03" w:rsidRPr="00070F03" w:rsidRDefault="00070F03" w:rsidP="00070F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  <w:r w:rsidRPr="00070F03">
        <w:rPr>
          <w:rFonts w:asciiTheme="majorHAnsi" w:hAnsiTheme="majorHAnsi" w:cs="Arial"/>
          <w:b/>
          <w:sz w:val="23"/>
          <w:szCs w:val="23"/>
        </w:rPr>
        <w:t xml:space="preserve">Appreciate </w:t>
      </w:r>
      <w:r w:rsidRPr="00070F03">
        <w:rPr>
          <w:rFonts w:asciiTheme="majorHAnsi" w:hAnsiTheme="majorHAnsi" w:cs="Arial"/>
          <w:sz w:val="23"/>
          <w:szCs w:val="23"/>
        </w:rPr>
        <w:t>the force of the non-rational, the irrational, and the accidental, in history and human affairs.</w:t>
      </w:r>
    </w:p>
    <w:p w14:paraId="3FF56265" w14:textId="77777777" w:rsidR="00070F03" w:rsidRPr="00070F03" w:rsidRDefault="00070F03" w:rsidP="00070F03">
      <w:pPr>
        <w:tabs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</w:p>
    <w:p w14:paraId="43CC9E66" w14:textId="77777777" w:rsidR="00070F03" w:rsidRPr="00070F03" w:rsidRDefault="00070F03" w:rsidP="00070F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  <w:r w:rsidRPr="00070F03">
        <w:rPr>
          <w:rFonts w:asciiTheme="majorHAnsi" w:hAnsiTheme="majorHAnsi" w:cs="Arial"/>
          <w:b/>
          <w:sz w:val="23"/>
          <w:szCs w:val="23"/>
        </w:rPr>
        <w:t xml:space="preserve">Understand </w:t>
      </w:r>
      <w:r w:rsidRPr="00070F03">
        <w:rPr>
          <w:rFonts w:asciiTheme="majorHAnsi" w:hAnsiTheme="majorHAnsi" w:cs="Arial"/>
          <w:sz w:val="23"/>
          <w:szCs w:val="23"/>
        </w:rPr>
        <w:t>the relationship between geography and history as a matrix of time and place, and as a context for events.</w:t>
      </w:r>
    </w:p>
    <w:p w14:paraId="1BE58380" w14:textId="77777777" w:rsidR="00070F03" w:rsidRPr="00070F03" w:rsidRDefault="00070F03" w:rsidP="00070F03">
      <w:pPr>
        <w:tabs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</w:p>
    <w:p w14:paraId="4EF2942D" w14:textId="77777777" w:rsidR="00070F03" w:rsidRPr="00070F03" w:rsidRDefault="00070F03" w:rsidP="00070F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3"/>
          <w:szCs w:val="23"/>
        </w:rPr>
      </w:pPr>
      <w:bookmarkStart w:id="0" w:name="_GoBack"/>
      <w:r w:rsidRPr="00070F03">
        <w:rPr>
          <w:rFonts w:asciiTheme="majorHAnsi" w:hAnsiTheme="majorHAnsi" w:cs="Arial"/>
          <w:b/>
          <w:sz w:val="23"/>
          <w:szCs w:val="23"/>
        </w:rPr>
        <w:t>Read</w:t>
      </w:r>
      <w:bookmarkEnd w:id="0"/>
      <w:r w:rsidRPr="00070F03">
        <w:rPr>
          <w:rFonts w:asciiTheme="majorHAnsi" w:hAnsiTheme="majorHAnsi" w:cs="Arial"/>
          <w:sz w:val="23"/>
          <w:szCs w:val="23"/>
        </w:rPr>
        <w:t xml:space="preserve"> widely and critically in order to recognize the difference between fact and conjecture, between evidence and assertion, and thereby frame useful questions</w:t>
      </w:r>
    </w:p>
    <w:p w14:paraId="4B2B518C" w14:textId="77777777" w:rsidR="00070F03" w:rsidRDefault="00070F03" w:rsidP="00070F03">
      <w:pPr>
        <w:rPr>
          <w:rFonts w:asciiTheme="majorHAnsi" w:hAnsiTheme="majorHAnsi"/>
        </w:rPr>
      </w:pPr>
    </w:p>
    <w:p w14:paraId="57E44179" w14:textId="77777777" w:rsidR="00070F03" w:rsidRDefault="00070F03" w:rsidP="00070F03">
      <w:pPr>
        <w:rPr>
          <w:rFonts w:asciiTheme="majorHAnsi" w:hAnsiTheme="majorHAnsi"/>
        </w:rPr>
      </w:pPr>
    </w:p>
    <w:p w14:paraId="6AB0A216" w14:textId="77777777" w:rsidR="00070F03" w:rsidRPr="00070F03" w:rsidRDefault="00070F03" w:rsidP="00070F03">
      <w:pPr>
        <w:ind w:firstLine="360"/>
        <w:rPr>
          <w:rFonts w:asciiTheme="majorHAnsi" w:hAnsiTheme="majorHAnsi"/>
          <w:i/>
        </w:rPr>
      </w:pPr>
      <w:r w:rsidRPr="00070F03">
        <w:rPr>
          <w:rFonts w:asciiTheme="majorHAnsi" w:hAnsiTheme="majorHAnsi"/>
          <w:i/>
        </w:rPr>
        <w:t>National Council for History Education (1995)</w:t>
      </w:r>
    </w:p>
    <w:sectPr w:rsidR="00070F03" w:rsidRPr="00070F03" w:rsidSect="00341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7A37"/>
    <w:multiLevelType w:val="hybridMultilevel"/>
    <w:tmpl w:val="B4FA7C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4E"/>
    <w:rsid w:val="00070F03"/>
    <w:rsid w:val="003417D4"/>
    <w:rsid w:val="006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A6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1594</Characters>
  <Application>Microsoft Macintosh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Rosenberg Wager</dc:creator>
  <cp:keywords/>
  <dc:description/>
  <cp:lastModifiedBy>Stefanie Rosenberg Wager</cp:lastModifiedBy>
  <cp:revision>2</cp:revision>
  <dcterms:created xsi:type="dcterms:W3CDTF">2014-07-20T15:46:00Z</dcterms:created>
  <dcterms:modified xsi:type="dcterms:W3CDTF">2014-07-20T15:52:00Z</dcterms:modified>
</cp:coreProperties>
</file>